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exact" w:line="274"/>
        <w:ind w:left="19" w:right="0" w:hanging="0"/>
        <w:jc w:val="right"/>
        <w:rPr>
          <w:rFonts w:cs="Times New Roman" w:ascii="Times New Roman" w:hAnsi="Times New Roman"/>
          <w:b/>
          <w:spacing w:val="-17"/>
          <w:sz w:val="20"/>
          <w:szCs w:val="20"/>
        </w:rPr>
      </w:pPr>
      <w:r>
        <w:rPr>
          <w:rFonts w:cs="Times New Roman" w:ascii="Times New Roman" w:hAnsi="Times New Roman"/>
          <w:b/>
          <w:spacing w:val="-17"/>
          <w:sz w:val="20"/>
          <w:szCs w:val="20"/>
        </w:rPr>
        <w:t>На  фирменном бланке организации</w:t>
      </w:r>
    </w:p>
    <w:p>
      <w:pPr>
        <w:pStyle w:val="Normal"/>
        <w:shd w:fill="FFFFFF" w:val="clear"/>
        <w:spacing w:lineRule="exact" w:line="274"/>
        <w:ind w:left="19" w:right="0" w:hanging="0"/>
        <w:jc w:val="right"/>
        <w:rPr/>
      </w:pPr>
      <w:r>
        <w:rPr/>
      </w:r>
    </w:p>
    <w:p>
      <w:pPr>
        <w:pStyle w:val="Normal"/>
        <w:shd w:fill="FFFFFF" w:val="clear"/>
        <w:spacing w:lineRule="exact" w:line="274"/>
        <w:ind w:left="19" w:right="0" w:hanging="0"/>
        <w:jc w:val="right"/>
        <w:rPr/>
      </w:pPr>
      <w:r>
        <w:rPr/>
      </w:r>
    </w:p>
    <w:p>
      <w:pPr>
        <w:pStyle w:val="Normal"/>
        <w:shd w:fill="FFFFFF" w:val="clear"/>
        <w:spacing w:lineRule="exact" w:line="274"/>
        <w:ind w:left="0" w:right="0" w:hanging="0"/>
        <w:jc w:val="center"/>
        <w:rPr>
          <w:rFonts w:cs="Times New Roman" w:ascii="Times New Roman" w:hAnsi="Times New Roman"/>
          <w:b/>
          <w:spacing w:val="-17"/>
          <w:sz w:val="28"/>
          <w:szCs w:val="28"/>
        </w:rPr>
      </w:pPr>
      <w:r>
        <w:rPr>
          <w:rFonts w:cs="Times New Roman" w:ascii="Times New Roman" w:hAnsi="Times New Roman"/>
          <w:b/>
          <w:spacing w:val="-17"/>
          <w:sz w:val="28"/>
          <w:szCs w:val="28"/>
        </w:rPr>
        <w:t>СВЕДЕНИЯ</w:t>
      </w:r>
    </w:p>
    <w:p>
      <w:pPr>
        <w:pStyle w:val="Normal"/>
        <w:shd w:fill="FFFFFF" w:val="clear"/>
        <w:spacing w:lineRule="exact" w:line="274" w:before="14" w:after="0"/>
        <w:ind w:left="0" w:right="1853" w:hanging="0"/>
        <w:jc w:val="center"/>
        <w:rPr>
          <w:rFonts w:cs="Times New Roman" w:ascii="Times New Roman" w:hAnsi="Times New Roman"/>
          <w:b/>
          <w:bCs/>
          <w:spacing w:val="-1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spacing w:val="-1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</w:rPr>
        <w:t xml:space="preserve">о системе  контроля качества выполняемых работ по                                                         подготовке  проектной документации особо опасных, технически                  сложных и уникальных объектов, 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shd w:fill="FFFFFF" w:val="clear"/>
        </w:rPr>
        <w:t>за исключением объектов                       использования атомной энергии</w:t>
      </w:r>
    </w:p>
    <w:p>
      <w:pPr>
        <w:pStyle w:val="Normal"/>
        <w:shd w:fill="FFFFFF" w:val="clear"/>
        <w:tabs>
          <w:tab w:val="left" w:pos="9072" w:leader="underscore"/>
        </w:tabs>
        <w:spacing w:lineRule="exact" w:line="274"/>
        <w:ind w:left="67" w:right="0" w:hanging="0"/>
        <w:jc w:val="center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</w:p>
    <w:tbl>
      <w:tblPr>
        <w:jc w:val="left"/>
        <w:tblInd w:w="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" w:type="dxa"/>
          <w:bottom w:w="0" w:type="dxa"/>
          <w:right w:w="40" w:type="dxa"/>
        </w:tblCellMar>
      </w:tblPr>
      <w:tblGrid>
        <w:gridCol w:w="757"/>
        <w:gridCol w:w="3181"/>
        <w:gridCol w:w="5139"/>
      </w:tblGrid>
      <w:tr>
        <w:trPr>
          <w:trHeight w:val="309" w:hRule="exact"/>
          <w:cantSplit w:val="false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ind w:left="24" w:right="0" w:hanging="0"/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N п/п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ind w:left="768" w:right="0" w:hanging="0"/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Вид контроля</w:t>
            </w:r>
          </w:p>
        </w:tc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ind w:left="101" w:right="0" w:hanging="0"/>
              <w:rPr>
                <w:rFonts w:cs="Times New Roman"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pacing w:val="-2"/>
                <w:sz w:val="18"/>
                <w:szCs w:val="18"/>
              </w:rPr>
              <w:t>Порядок осуществления, ответственные лица</w:t>
            </w:r>
          </w:p>
        </w:tc>
      </w:tr>
      <w:tr>
        <w:trPr>
          <w:trHeight w:val="220" w:hRule="exact"/>
          <w:cantSplit w:val="false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ind w:left="250" w:right="0" w:hanging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Входной контроль</w:t>
            </w:r>
          </w:p>
        </w:tc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18" w:hRule="exact"/>
          <w:cantSplit w:val="false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ind w:left="226" w:right="0" w:hanging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rPr>
                <w:rFonts w:cs="Times New Roman" w:ascii="Times New Roman" w:hAnsi="Times New Roman"/>
                <w:spacing w:val="-3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3"/>
                <w:sz w:val="18"/>
                <w:szCs w:val="18"/>
              </w:rPr>
              <w:t>Операционный контроль</w:t>
            </w:r>
          </w:p>
        </w:tc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97" w:hRule="exact"/>
          <w:cantSplit w:val="false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ind w:left="230" w:right="0" w:hanging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rPr>
                <w:rFonts w:cs="Times New Roman" w:ascii="Times New Roman" w:hAnsi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  <w:t>Профессиональные стандарты</w:t>
            </w:r>
          </w:p>
        </w:tc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12" w:hRule="exact"/>
          <w:cantSplit w:val="false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ind w:left="226" w:right="0" w:hanging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rPr>
                <w:rFonts w:cs="Times New Roman" w:ascii="Times New Roman" w:hAnsi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  <w:t>Приемочный контроль</w:t>
            </w:r>
          </w:p>
        </w:tc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rPr>
                <w:rFonts w:cs="Times New Roman" w:ascii="Times New Roman" w:hAnsi="Times New Roman"/>
                <w:spacing w:val="-2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Пример: </w:t>
            </w:r>
            <w:r>
              <w:rPr>
                <w:rFonts w:cs="Times New Roman" w:ascii="Times New Roman" w:hAnsi="Times New Roman"/>
                <w:spacing w:val="-2"/>
                <w:sz w:val="16"/>
                <w:szCs w:val="16"/>
              </w:rPr>
              <w:t>Главный инженер ФИО, должностная инструкция №  от  _  20_ г.</w:t>
            </w:r>
          </w:p>
        </w:tc>
      </w:tr>
      <w:tr>
        <w:trPr>
          <w:trHeight w:val="203" w:hRule="exact"/>
          <w:cantSplit w:val="false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ind w:left="235" w:right="0" w:hanging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rPr>
                <w:rFonts w:cs="Times New Roman" w:ascii="Times New Roman" w:hAnsi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sz w:val="18"/>
                <w:szCs w:val="18"/>
              </w:rPr>
              <w:t>Инспекционный контроль</w:t>
            </w:r>
          </w:p>
        </w:tc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8" w:hRule="exact"/>
          <w:cantSplit w:val="false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ind w:left="230" w:right="0" w:hanging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Нормативная база и ведение архива</w:t>
            </w:r>
          </w:p>
        </w:tc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67" w:hRule="exact"/>
          <w:cantSplit w:val="false"/>
        </w:trPr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ind w:left="230" w:right="0" w:hanging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Нормоконтроль</w:t>
            </w:r>
          </w:p>
        </w:tc>
        <w:tc>
          <w:tcPr>
            <w:tcW w:w="5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shd w:fill="FFFFFF" w:val="clea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Times12"/>
        <w:ind w:left="0" w:right="0" w:hanging="0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 </w:t>
      </w:r>
    </w:p>
    <w:p>
      <w:pPr>
        <w:pStyle w:val="Times12"/>
        <w:ind w:left="0" w:right="0" w:hang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Приложение:</w:t>
      </w:r>
    </w:p>
    <w:p>
      <w:pPr>
        <w:pStyle w:val="Times12"/>
        <w:ind w:left="0" w:right="0" w:hanging="0"/>
        <w:rPr>
          <w:b/>
          <w:bCs/>
        </w:rPr>
      </w:pPr>
      <w:r>
        <w:rPr>
          <w:b/>
          <w:bCs/>
        </w:rPr>
      </w:r>
    </w:p>
    <w:p>
      <w:pPr>
        <w:pStyle w:val="Normal"/>
        <w:shd w:fill="FFFFFF" w:val="clear"/>
        <w:tabs>
          <w:tab w:val="left" w:pos="567" w:leader="none"/>
          <w:tab w:val="left" w:pos="720" w:leader="none"/>
        </w:tabs>
        <w:jc w:val="both"/>
        <w:rPr>
          <w:rFonts w:cs="Times New Roman" w:ascii="Times New Roman" w:hAnsi="Times New Roman"/>
          <w:spacing w:val="-1"/>
          <w:sz w:val="18"/>
          <w:szCs w:val="18"/>
        </w:rPr>
      </w:pPr>
      <w:r>
        <w:rPr>
          <w:rFonts w:cs="Times New Roman" w:ascii="Times New Roman" w:hAnsi="Times New Roman"/>
          <w:spacing w:val="-1"/>
        </w:rPr>
        <w:t xml:space="preserve">          </w:t>
      </w:r>
      <w:r>
        <w:rPr>
          <w:rFonts w:cs="Times New Roman" w:ascii="Times New Roman" w:hAnsi="Times New Roman"/>
          <w:spacing w:val="-1"/>
          <w:sz w:val="18"/>
          <w:szCs w:val="18"/>
        </w:rPr>
        <w:t xml:space="preserve"> </w:t>
      </w:r>
      <w:r>
        <w:rPr>
          <w:rFonts w:cs="Times New Roman" w:ascii="Times New Roman" w:hAnsi="Times New Roman"/>
          <w:spacing w:val="-1"/>
          <w:sz w:val="18"/>
          <w:szCs w:val="18"/>
        </w:rPr>
        <w:t>1. Сведения о наличии системы контроля качества проектных работ</w:t>
      </w:r>
      <w:r>
        <w:rPr>
          <w:rFonts w:cs="Times New Roman" w:ascii="Times New Roman" w:hAnsi="Times New Roman"/>
          <w:sz w:val="18"/>
          <w:szCs w:val="18"/>
        </w:rPr>
        <w:t>,</w:t>
      </w:r>
      <w:r>
        <w:rPr>
          <w:rFonts w:cs="Times New Roman" w:ascii="Times New Roman" w:hAnsi="Times New Roman"/>
          <w:bCs/>
          <w:spacing w:val="-2"/>
          <w:sz w:val="18"/>
          <w:szCs w:val="18"/>
        </w:rPr>
        <w:t xml:space="preserve"> </w:t>
      </w:r>
      <w:r>
        <w:rPr>
          <w:rFonts w:cs="Times New Roman" w:ascii="Times New Roman" w:hAnsi="Times New Roman"/>
          <w:spacing w:val="-1"/>
          <w:sz w:val="18"/>
          <w:szCs w:val="18"/>
        </w:rPr>
        <w:t>в целях проверки её соответствия те</w:t>
      </w:r>
      <w:r>
        <w:rPr>
          <w:rFonts w:cs="Times New Roman" w:ascii="Times New Roman" w:hAnsi="Times New Roman"/>
          <w:sz w:val="18"/>
          <w:szCs w:val="18"/>
        </w:rPr>
        <w:t xml:space="preserve">хническим регламентам, иным документам в области стандартизации, результатам инженерных </w:t>
      </w:r>
      <w:r>
        <w:rPr>
          <w:rFonts w:cs="Times New Roman" w:ascii="Times New Roman" w:hAnsi="Times New Roman"/>
          <w:spacing w:val="-1"/>
          <w:sz w:val="18"/>
          <w:szCs w:val="18"/>
        </w:rPr>
        <w:t>изысканий, требованиям градостроительного плана земельного участка включают в себя следующие организационно-распорядительные документы:</w:t>
      </w:r>
    </w:p>
    <w:p>
      <w:pPr>
        <w:pStyle w:val="Normal"/>
        <w:shd w:fill="FFFFFF" w:val="clear"/>
        <w:ind w:left="14" w:right="0" w:firstLine="720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1.1.1. приказ(ы) о создании системы контроля</w:t>
      </w:r>
      <w:r>
        <w:rPr>
          <w:rFonts w:cs="Times New Roman" w:ascii="Times New Roman" w:hAnsi="Times New Roman"/>
          <w:bCs/>
          <w:spacing w:val="-1"/>
          <w:sz w:val="18"/>
          <w:szCs w:val="18"/>
        </w:rPr>
        <w:t xml:space="preserve"> качества проектных работ и проектной продукции</w:t>
      </w:r>
      <w:r>
        <w:rPr>
          <w:rFonts w:cs="Times New Roman" w:ascii="Times New Roman" w:hAnsi="Times New Roman"/>
          <w:sz w:val="18"/>
          <w:szCs w:val="18"/>
        </w:rPr>
        <w:t xml:space="preserve">, утверждении и введении в действие соответствующего положения, </w:t>
      </w:r>
      <w:r>
        <w:rPr>
          <w:rFonts w:cs="Times New Roman" w:ascii="Times New Roman" w:hAnsi="Times New Roman"/>
          <w:color w:val="000000"/>
          <w:sz w:val="18"/>
          <w:szCs w:val="18"/>
        </w:rPr>
        <w:t>образовании группы контроля качества</w:t>
      </w:r>
      <w:r>
        <w:rPr>
          <w:rFonts w:cs="Times New Roman" w:ascii="Times New Roman" w:hAnsi="Times New Roman"/>
          <w:sz w:val="18"/>
          <w:szCs w:val="18"/>
        </w:rPr>
        <w:t xml:space="preserve"> и назначении ответственных лиц по видам контроля;</w:t>
      </w:r>
    </w:p>
    <w:p>
      <w:pPr>
        <w:pStyle w:val="Normal"/>
        <w:shd w:fill="FFFFFF" w:val="clear"/>
        <w:ind w:left="14" w:right="0" w:firstLine="720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1.1.2. положение о вышеуказанной системе контроля качества;</w:t>
      </w:r>
    </w:p>
    <w:p>
      <w:pPr>
        <w:pStyle w:val="Normal"/>
        <w:shd w:fill="FFFFFF" w:val="clear"/>
        <w:ind w:left="14" w:right="0" w:firstLine="720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1.2.1. приказ (ы) об утверждении и введении в д</w:t>
      </w:r>
      <w:bookmarkStart w:id="0" w:name="_GoBack"/>
      <w:bookmarkEnd w:id="0"/>
      <w:r>
        <w:rPr>
          <w:rFonts w:cs="Times New Roman" w:ascii="Times New Roman" w:hAnsi="Times New Roman"/>
          <w:sz w:val="18"/>
          <w:szCs w:val="18"/>
        </w:rPr>
        <w:t xml:space="preserve">ействие положения </w:t>
      </w:r>
      <w:r>
        <w:rPr>
          <w:rFonts w:cs="Times New Roman" w:ascii="Times New Roman" w:hAnsi="Times New Roman"/>
          <w:color w:val="000000"/>
          <w:sz w:val="18"/>
          <w:szCs w:val="18"/>
        </w:rPr>
        <w:t>о нормоконтроле и назначении ответственных(ого) лиц(а) за осуществление нормоконтроля</w:t>
      </w:r>
      <w:r>
        <w:rPr>
          <w:rFonts w:cs="Times New Roman" w:ascii="Times New Roman" w:hAnsi="Times New Roman"/>
          <w:sz w:val="18"/>
          <w:szCs w:val="18"/>
        </w:rPr>
        <w:t>;</w:t>
      </w:r>
    </w:p>
    <w:p>
      <w:pPr>
        <w:pStyle w:val="Normal"/>
        <w:shd w:fill="FFFFFF" w:val="clear"/>
        <w:ind w:left="14" w:right="0" w:firstLine="720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1.2.2. положение о нормоконтроле;</w:t>
      </w:r>
    </w:p>
    <w:p>
      <w:pPr>
        <w:pStyle w:val="Normal"/>
        <w:shd w:fill="FFFFFF" w:val="clear"/>
        <w:ind w:left="5" w:right="0" w:firstLine="725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1.3.1. приказ(ы) о создании архива проектной и иной документации, утверждении соответствующего положения и назначении должностного лица, ответственного за его ведение в части требований действующего законодательства к комплектованию, учету, использованию, обеспечению сохранности и  организации хранения указанной документации;</w:t>
      </w:r>
    </w:p>
    <w:p>
      <w:pPr>
        <w:pStyle w:val="Normal"/>
        <w:shd w:fill="FFFFFF" w:val="clear"/>
        <w:ind w:left="5" w:right="0" w:firstLine="725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1.3.2. положение об архиве;</w:t>
      </w:r>
    </w:p>
    <w:p>
      <w:pPr>
        <w:pStyle w:val="Normal"/>
        <w:shd w:fill="FFFFFF" w:val="clear"/>
        <w:ind w:left="5" w:right="0" w:firstLine="725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1.4. наличие(указывается в случае их наличия) системы стандартов предприятия, технологических карт контроля качества, соответствующие нормативным правовым актам по вопросам реализации контроля</w:t>
      </w:r>
      <w:r>
        <w:rPr>
          <w:rFonts w:cs="Times New Roman" w:ascii="Times New Roman" w:hAnsi="Times New Roman"/>
          <w:bCs/>
          <w:spacing w:val="-1"/>
          <w:sz w:val="18"/>
          <w:szCs w:val="18"/>
        </w:rPr>
        <w:t xml:space="preserve"> при </w:t>
      </w:r>
      <w:r>
        <w:rPr>
          <w:rFonts w:cs="Times New Roman" w:ascii="Times New Roman" w:hAnsi="Times New Roman"/>
          <w:bCs/>
          <w:spacing w:val="-2"/>
          <w:sz w:val="18"/>
          <w:szCs w:val="18"/>
        </w:rPr>
        <w:t>осуществлении работ по подготовке проектной документации</w:t>
      </w:r>
      <w:r>
        <w:rPr>
          <w:rFonts w:cs="Times New Roman" w:ascii="Times New Roman" w:hAnsi="Times New Roman"/>
          <w:sz w:val="18"/>
          <w:szCs w:val="18"/>
        </w:rPr>
        <w:t>, журналов работ.</w:t>
      </w:r>
    </w:p>
    <w:p>
      <w:pPr>
        <w:pStyle w:val="Times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2. При наличие у организации сертификата соответствия системы менеджмента качества (</w:t>
      </w:r>
      <w:r>
        <w:rPr>
          <w:color w:val="000000"/>
          <w:sz w:val="18"/>
          <w:szCs w:val="18"/>
        </w:rPr>
        <w:t xml:space="preserve">ISO 9001:2008 (ГОСТ Р ИСО 9001 – 2008)) </w:t>
      </w:r>
      <w:r>
        <w:rPr>
          <w:sz w:val="18"/>
          <w:szCs w:val="18"/>
        </w:rPr>
        <w:t>выданного при осуществлении добровольного подтверждения соответствия в определённой системе добровольной сертификации, организация предоставляет, помимо сведений о системе контроля качества проектных работ (включая только документы, предусмотренные подпунктами 1.2.1, 1.2.2, 1.3.1 и 1.3.2 настоящего Приложения к Положению о порядке приема в члены и о порядке прекращения членства в Союзе СРО «ГПП»), копии следующих документов, заверенные в установленном порядке:</w:t>
      </w:r>
    </w:p>
    <w:p>
      <w:pPr>
        <w:pStyle w:val="Normal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- приказ о принятии решения о разработке и внедрении системы менеджмента качества;</w:t>
      </w:r>
    </w:p>
    <w:p>
      <w:pPr>
        <w:pStyle w:val="Normal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- сертификат соответствия;</w:t>
      </w:r>
    </w:p>
    <w:p>
      <w:pPr>
        <w:pStyle w:val="Normal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- сертификаты на внутренних аудиторов.</w:t>
      </w:r>
    </w:p>
    <w:p>
      <w:pPr>
        <w:pStyle w:val="Normal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- предоставляются организацией при необходимости по требованию Комиссии по контролю Союза СРО  «ГПП» копии следующих документов, заверенные в установленном порядке:</w:t>
      </w:r>
    </w:p>
    <w:p>
      <w:pPr>
        <w:pStyle w:val="Normal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- приказы  по предприятию о назначении аудиторов, об образовании и составе Службы качества, об образовании и составе Совета по качеству;</w:t>
      </w:r>
    </w:p>
    <w:p>
      <w:pPr>
        <w:pStyle w:val="Normal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</w:t>
      </w:r>
      <w:r>
        <w:rPr>
          <w:rFonts w:cs="Times New Roman" w:ascii="Times New Roman" w:hAnsi="Times New Roman"/>
          <w:sz w:val="18"/>
          <w:szCs w:val="18"/>
        </w:rPr>
        <w:t>- перечень разработанной и внедренной документации системы менеджмента качества;</w:t>
      </w:r>
    </w:p>
    <w:p>
      <w:pPr>
        <w:pStyle w:val="Normal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- стандарты предприятия, касающиеся нормоконтроля и архива документации, образующейся при осуществлении проектных работ;</w:t>
      </w:r>
    </w:p>
    <w:p>
      <w:pPr>
        <w:pStyle w:val="Normal"/>
        <w:ind w:left="0" w:right="0" w:hanging="0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- документированные процедуры  и другие документы системы менеджмента качества, необходимые проектной организации для обеспечения эффективного планирования, осуществления и функционирования процессов и управления ими.</w:t>
      </w:r>
    </w:p>
    <w:p>
      <w:pPr>
        <w:pStyle w:val="Normal"/>
        <w:ind w:left="0" w:right="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0" w:righ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hanging="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                        ________________           _____________________________</w:t>
      </w:r>
    </w:p>
    <w:p>
      <w:pPr>
        <w:pStyle w:val="Normal"/>
        <w:tabs>
          <w:tab w:val="left" w:pos="3598" w:leader="none"/>
          <w:tab w:val="left" w:pos="5422" w:leader="none"/>
        </w:tabs>
        <w:overflowPunct w:val="false"/>
        <w:ind w:left="539" w:right="0" w:hanging="0"/>
        <w:jc w:val="center"/>
        <w:rPr>
          <w:rFonts w:ascii="Times New Roman" w:hAnsi="Times New Roman"/>
          <w:b/>
          <w:i w:val="false"/>
          <w:iCs w:val="false"/>
          <w:sz w:val="19"/>
          <w:szCs w:val="19"/>
          <w:u w:val="none"/>
          <w:lang w:val="en-US"/>
        </w:rPr>
      </w:pPr>
      <w:r>
        <w:rPr>
          <w:rFonts w:ascii="Times New Roman" w:hAnsi="Times New Roman"/>
          <w:b/>
          <w:i w:val="false"/>
          <w:iCs w:val="false"/>
          <w:sz w:val="19"/>
          <w:szCs w:val="19"/>
          <w:u w:val="none"/>
          <w:lang w:val="en-US"/>
        </w:rPr>
        <w:t>(дата)</w:t>
        <w:tab/>
        <w:t>(подпись)</w:t>
        <w:tab/>
        <w:t xml:space="preserve">(расшифровка </w:t>
      </w:r>
      <w:r>
        <w:rPr>
          <w:rFonts w:ascii="Times New Roman" w:hAnsi="Times New Roman"/>
          <w:b/>
          <w:i w:val="false"/>
          <w:iCs w:val="false"/>
          <w:spacing w:val="18"/>
          <w:sz w:val="19"/>
          <w:szCs w:val="19"/>
          <w:u w:val="none"/>
          <w:lang w:val="en-US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19"/>
          <w:szCs w:val="19"/>
          <w:u w:val="none"/>
          <w:lang w:val="en-US"/>
        </w:rPr>
        <w:t>подписи)</w:t>
      </w:r>
    </w:p>
    <w:p>
      <w:pPr>
        <w:pStyle w:val="Normal"/>
        <w:tabs>
          <w:tab w:val="left" w:pos="3598" w:leader="none"/>
          <w:tab w:val="left" w:pos="5422" w:leader="none"/>
        </w:tabs>
        <w:overflowPunct w:val="false"/>
        <w:ind w:left="539" w:right="0" w:hanging="0"/>
        <w:jc w:val="center"/>
        <w:rPr>
          <w:rFonts w:ascii="Times New Roman" w:hAnsi="Times New Roman"/>
          <w:b/>
          <w:i w:val="false"/>
          <w:iCs w:val="false"/>
          <w:sz w:val="19"/>
          <w:szCs w:val="19"/>
          <w:u w:val="none"/>
          <w:lang w:val="en-US"/>
        </w:rPr>
      </w:pPr>
      <w:r>
        <w:rPr>
          <w:rFonts w:ascii="Times New Roman" w:hAnsi="Times New Roman"/>
          <w:b/>
          <w:i w:val="false"/>
          <w:iCs w:val="false"/>
          <w:sz w:val="19"/>
          <w:szCs w:val="19"/>
          <w:u w:val="none"/>
          <w:lang w:val="en-US"/>
        </w:rPr>
      </w:r>
    </w:p>
    <w:p>
      <w:pPr>
        <w:pStyle w:val="Normal"/>
        <w:tabs>
          <w:tab w:val="left" w:pos="3598" w:leader="none"/>
          <w:tab w:val="left" w:pos="5422" w:leader="none"/>
        </w:tabs>
        <w:overflowPunct w:val="false"/>
        <w:ind w:left="539" w:right="0" w:hanging="0"/>
        <w:jc w:val="center"/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  <w:vertAlign w:val="superscript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  <w:vertAlign w:val="superscript"/>
          <w:lang w:val="ru-RU"/>
        </w:rPr>
        <w:t>М.П</w:t>
      </w:r>
    </w:p>
    <w:p>
      <w:pPr>
        <w:pStyle w:val="Times12"/>
        <w:pBdr>
          <w:top w:val="nil"/>
          <w:left w:val="nil"/>
          <w:bottom w:val="single" w:sz="12" w:space="1" w:color="00000A"/>
          <w:right w:val="nil"/>
        </w:pBdr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ar-SA" w:bidi="ar-SA"/>
    </w:rPr>
  </w:style>
  <w:style w:type="paragraph" w:styleId="1">
    <w:name w:val="Заголовок 1"/>
    <w:qFormat/>
    <w:basedOn w:val="Normal"/>
    <w:pPr>
      <w:keepNext/>
      <w:keepLines/>
      <w:pageBreakBefore/>
      <w:widowControl/>
      <w:spacing w:before="480" w:after="240"/>
      <w:outlineLvl w:val="0"/>
    </w:pPr>
    <w:rPr>
      <w:b/>
      <w:bCs/>
      <w:sz w:val="40"/>
      <w:szCs w:val="40"/>
    </w:rPr>
  </w:style>
  <w:style w:type="paragraph" w:styleId="2">
    <w:name w:val="Заголовок 2"/>
    <w:qFormat/>
    <w:basedOn w:val="Normal"/>
    <w:pPr>
      <w:keepNext/>
      <w:widowControl/>
      <w:spacing w:before="360" w:after="120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>
      <w:sz w:val="22"/>
      <w:szCs w:val="22"/>
    </w:rPr>
  </w:style>
  <w:style w:type="character" w:styleId="WW8Num1z1" w:customStyle="1">
    <w:name w:val="WW8Num1z1"/>
    <w:rPr>
      <w:color w:val="FF0000"/>
    </w:rPr>
  </w:style>
  <w:style w:type="character" w:styleId="WW8Num1z2" w:customStyle="1">
    <w:name w:val="WW8Num1z2"/>
    <w:rPr>
      <w:b w:val="false"/>
      <w:i w:val="false"/>
      <w:color w:val="FF0000"/>
    </w:rPr>
  </w:style>
  <w:style w:type="character" w:styleId="WW8Num1z3" w:customStyle="1">
    <w:name w:val="WW8Num1z3"/>
    <w:rPr>
      <w:b w:val="false"/>
      <w:i w:val="false"/>
    </w:rPr>
  </w:style>
  <w:style w:type="character" w:styleId="WW8Num2z0" w:customStyle="1">
    <w:name w:val="WW8Num2z0"/>
    <w:rPr>
      <w:sz w:val="22"/>
      <w:szCs w:val="22"/>
    </w:rPr>
  </w:style>
  <w:style w:type="character" w:styleId="WW8Num2z1" w:customStyle="1">
    <w:name w:val="WW8Num2z1"/>
    <w:rPr>
      <w:color w:val="FF0000"/>
    </w:rPr>
  </w:style>
  <w:style w:type="character" w:styleId="WW8Num2z2" w:customStyle="1">
    <w:name w:val="WW8Num2z2"/>
    <w:rPr>
      <w:b w:val="false"/>
      <w:i w:val="false"/>
      <w:color w:val="FF0000"/>
    </w:rPr>
  </w:style>
  <w:style w:type="character" w:styleId="WW8Num2z3" w:customStyle="1">
    <w:name w:val="WW8Num2z3"/>
    <w:rPr>
      <w:b w:val="false"/>
      <w:i w:val="false"/>
    </w:rPr>
  </w:style>
  <w:style w:type="character" w:styleId="WW8Num4z0" w:customStyle="1">
    <w:name w:val="WW8Num4z0"/>
    <w:rPr>
      <w:rFonts w:ascii="Symbol" w:hAnsi="Symbol" w:cs="OpenSymbol"/>
    </w:rPr>
  </w:style>
  <w:style w:type="character" w:styleId="AbsatzStandardschriftart" w:customStyle="1">
    <w:name w:val="Absatz-Standardschriftart"/>
    <w:rPr/>
  </w:style>
  <w:style w:type="character" w:styleId="11" w:customStyle="1">
    <w:name w:val="Основной шрифт абзаца1"/>
    <w:rPr/>
  </w:style>
  <w:style w:type="character" w:styleId="Style12">
    <w:name w:val="Выделение"/>
    <w:qFormat/>
    <w:rPr>
      <w:i/>
      <w:iCs/>
    </w:rPr>
  </w:style>
  <w:style w:type="character" w:styleId="12" w:customStyle="1">
    <w:name w:val="Заголовок 1 Знак"/>
    <w:rPr>
      <w:rFonts w:ascii="Arial" w:hAnsi="Arial" w:cs="Arial"/>
      <w:b/>
      <w:bCs/>
      <w:sz w:val="40"/>
      <w:szCs w:val="40"/>
    </w:rPr>
  </w:style>
  <w:style w:type="character" w:styleId="21" w:customStyle="1">
    <w:name w:val="Заголовок 2 Знак"/>
    <w:rPr>
      <w:b/>
      <w:bCs/>
      <w:sz w:val="32"/>
      <w:szCs w:val="32"/>
    </w:rPr>
  </w:style>
  <w:style w:type="character" w:styleId="Style13" w:customStyle="1">
    <w:name w:val="Символ нумерации"/>
    <w:rPr/>
  </w:style>
  <w:style w:type="character" w:styleId="Style14" w:customStyle="1">
    <w:name w:val="Маркеры списка"/>
    <w:rPr>
      <w:rFonts w:ascii="OpenSymbol" w:hAnsi="OpenSymbol" w:eastAsia="OpenSymbol" w:cs="OpenSymbol"/>
    </w:rPr>
  </w:style>
  <w:style w:type="character" w:styleId="ListLabel1">
    <w:name w:val="ListLabel 1"/>
    <w:rPr>
      <w:sz w:val="22"/>
      <w:szCs w:val="22"/>
    </w:rPr>
  </w:style>
  <w:style w:type="character" w:styleId="ListLabel2">
    <w:name w:val="ListLabel 2"/>
    <w:rPr>
      <w:color w:val="FF0000"/>
    </w:rPr>
  </w:style>
  <w:style w:type="character" w:styleId="ListLabel3">
    <w:name w:val="ListLabel 3"/>
    <w:rPr>
      <w:b w:val="false"/>
      <w:i w:val="false"/>
      <w:color w:val="FF0000"/>
    </w:rPr>
  </w:style>
  <w:style w:type="character" w:styleId="ListLabel4">
    <w:name w:val="ListLabel 4"/>
    <w:rPr>
      <w:b w:val="false"/>
      <w:i w:val="false"/>
    </w:rPr>
  </w:style>
  <w:style w:type="character" w:styleId="ListLabel5">
    <w:name w:val="ListLabel 5"/>
    <w:rPr>
      <w:rFonts w:cs="OpenSymbol"/>
    </w:rPr>
  </w:style>
  <w:style w:type="character" w:styleId="ListLabel6">
    <w:name w:val="ListLabel 6"/>
    <w:rPr>
      <w:sz w:val="22"/>
      <w:szCs w:val="22"/>
    </w:rPr>
  </w:style>
  <w:style w:type="character" w:styleId="ListLabel7">
    <w:name w:val="ListLabel 7"/>
    <w:rPr>
      <w:color w:val="FF0000"/>
    </w:rPr>
  </w:style>
  <w:style w:type="character" w:styleId="ListLabel8">
    <w:name w:val="ListLabel 8"/>
    <w:rPr>
      <w:b w:val="false"/>
      <w:i w:val="false"/>
      <w:color w:val="FF0000"/>
    </w:rPr>
  </w:style>
  <w:style w:type="character" w:styleId="ListLabel9">
    <w:name w:val="ListLabel 9"/>
    <w:rPr>
      <w:b w:val="false"/>
      <w:i w:val="false"/>
    </w:rPr>
  </w:style>
  <w:style w:type="paragraph" w:styleId="Style15" w:customStyle="1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20"/>
    </w:pPr>
    <w:rPr/>
  </w:style>
  <w:style w:type="paragraph" w:styleId="Style17">
    <w:name w:val="Список"/>
    <w:basedOn w:val="Style16"/>
    <w:pPr/>
    <w:rPr>
      <w:rFonts w:cs="Tahom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Arial Unicode MS"/>
    </w:rPr>
  </w:style>
  <w:style w:type="paragraph" w:styleId="13" w:customStyle="1">
    <w:name w:val="Название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14" w:customStyle="1">
    <w:name w:val="Указатель1"/>
    <w:basedOn w:val="Normal"/>
    <w:pPr>
      <w:suppressLineNumbers/>
    </w:pPr>
    <w:rPr>
      <w:rFonts w:cs="Tahoma"/>
    </w:rPr>
  </w:style>
  <w:style w:type="paragraph" w:styleId="Style20" w:customStyle="1">
    <w:name w:val="Пункт"/>
    <w:basedOn w:val="Normal"/>
    <w:pPr>
      <w:widowControl/>
      <w:spacing w:lineRule="auto" w:line="360"/>
      <w:jc w:val="both"/>
    </w:pPr>
    <w:rPr>
      <w:rFonts w:ascii="Times New Roman" w:hAnsi="Times New Roman" w:cs="Times New Roman"/>
      <w:sz w:val="28"/>
      <w:szCs w:val="28"/>
    </w:rPr>
  </w:style>
  <w:style w:type="paragraph" w:styleId="Style21" w:customStyle="1">
    <w:name w:val="Подпункт"/>
    <w:basedOn w:val="Style20"/>
    <w:pPr/>
    <w:rPr/>
  </w:style>
  <w:style w:type="paragraph" w:styleId="Style22" w:customStyle="1">
    <w:name w:val="Подподпункт"/>
    <w:basedOn w:val="Style21"/>
    <w:pPr/>
    <w:rPr/>
  </w:style>
  <w:style w:type="paragraph" w:styleId="Times12" w:customStyle="1">
    <w:name w:val="Times 12"/>
    <w:basedOn w:val="Normal"/>
    <w:pPr>
      <w:widowControl/>
      <w:overflowPunct w:val="false"/>
      <w:ind w:left="0" w:right="0" w:firstLine="567"/>
      <w:jc w:val="both"/>
    </w:pPr>
    <w:rPr>
      <w:rFonts w:ascii="Times New Roman" w:hAnsi="Times New Roman" w:cs="Times New Roman"/>
      <w:sz w:val="24"/>
    </w:rPr>
  </w:style>
  <w:style w:type="paragraph" w:styleId="15" w:customStyle="1">
    <w:name w:val="Цитата1"/>
    <w:basedOn w:val="Normal"/>
    <w:pPr>
      <w:widowControl/>
      <w:ind w:left="-108" w:right="-121" w:hanging="0"/>
    </w:pPr>
    <w:rPr>
      <w:rFonts w:ascii="Times New Roman" w:hAnsi="Times New Roman" w:cs="Times New Roman"/>
      <w:szCs w:val="24"/>
    </w:rPr>
  </w:style>
  <w:style w:type="paragraph" w:styleId="Style23" w:customStyle="1">
    <w:name w:val="Содержимое таблицы"/>
    <w:basedOn w:val="Normal"/>
    <w:pPr>
      <w:suppressLineNumbers/>
    </w:pPr>
    <w:rPr/>
  </w:style>
  <w:style w:type="paragraph" w:styleId="Style24" w:customStyle="1">
    <w:name w:val="Заголовок таблицы"/>
    <w:basedOn w:val="Style23"/>
    <w:pPr>
      <w:jc w:val="center"/>
    </w:pPr>
    <w:rPr>
      <w:b/>
      <w:bCs/>
    </w:rPr>
  </w:style>
  <w:style w:type="paragraph" w:styleId="ConsPlusNormal" w:customStyle="1">
    <w:name w:val="ConsPlusNormal"/>
    <w:rsid w:val="00de10a1"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2013-07-01T13:57:00Z</dcterms:created>
  <dc:creator>REK</dc:creator>
  <dc:language>ru-RU</dc:language>
  <cp:lastModifiedBy>user</cp:lastModifiedBy>
  <cp:lastPrinted>2018-01-25T11:31:40Z</cp:lastPrinted>
  <dcterms:modified xsi:type="dcterms:W3CDTF">2015-10-17T09:09:00Z</dcterms:modified>
  <cp:revision>8</cp:revision>
</cp:coreProperties>
</file>